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b w:val="1"/>
          <w:bCs w:val="1"/>
          <w:sz w:val="34"/>
          <w:szCs w:val="34"/>
        </w:rPr>
      </w:pPr>
      <w:r w:rsidDel="00000000" w:rsidR="00000000" w:rsidRPr="00000000">
        <w:rPr>
          <w:b w:val="1"/>
          <w:bCs w:val="1"/>
          <w:rtl w:val="0"/>
        </w:rPr>
        <w:t xml:space="preserve">SPECYFIKACJA MATERIAŁOWA – ZABEZPIECZENIE ELEMENTÓW DREWNIANYCH (ELEWACJE / PODBITKI / ARCHITEKTURA)</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1. Przedmiot specyfikacji</w:t>
      </w:r>
      <w:r w:rsidDel="00000000" w:rsidR="00000000" w:rsidRPr="00000000">
        <w:rPr>
          <w:rtl w:val="0"/>
        </w:rPr>
        <w:t xml:space="preserve"> Przedmiotem specyfikacji jest dostawa i aplikacja hybrydowego systemu ochrony drewna na zewnątrz. Jako standard odniesienia dla wymaganych parametrów technicznych i jakościowych przyjmuje się produkt ENVOX - Lazura olejna ekstremalnej hydrofobowości.</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2. Warunki dopuszczenia materiałów równoważnych</w:t>
      </w:r>
      <w:r w:rsidDel="00000000" w:rsidR="00000000" w:rsidRPr="00000000">
        <w:rPr>
          <w:rtl w:val="0"/>
        </w:rPr>
        <w:t xml:space="preserve"> W przypadku zaproponowania przez Wykonawcę materiałów równoważnych, muszą one bezwzględnie spełniać wszystkie poniższe, łącznie występujące parametry fizykochemiczne. Wykonawca jest zobowiązany udowodnić spełnienie tych parametrów dołączając do oferty aktualną Kartę Techniczną (TDS) oraz Kartę Charakterystyki (SDS) proponowanego zamiennika.</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3. Wymagane parametry techniczne bezwzględne (Kryteria odrzucenia):</w:t>
      </w:r>
    </w:p>
    <w:p w:rsidR="00000000" w:rsidDel="00000000" w:rsidP="00000000" w:rsidRDefault="00000000" w:rsidRPr="00000000" w14:paraId="00000005">
      <w:pPr>
        <w:numPr>
          <w:ilvl w:val="0"/>
          <w:numId w:val="1"/>
        </w:numPr>
        <w:spacing w:after="0" w:afterAutospacing="0" w:before="240" w:lineRule="auto"/>
        <w:ind w:left="720" w:hanging="360"/>
      </w:pPr>
      <w:r w:rsidDel="00000000" w:rsidR="00000000" w:rsidRPr="00000000">
        <w:rPr>
          <w:b w:val="1"/>
          <w:bCs w:val="1"/>
          <w:rtl w:val="0"/>
        </w:rPr>
        <w:t xml:space="preserve">Baza chemiczna:</w:t>
      </w:r>
      <w:r w:rsidDel="00000000" w:rsidR="00000000" w:rsidRPr="00000000">
        <w:rPr>
          <w:rtl w:val="0"/>
        </w:rPr>
        <w:t xml:space="preserve"> Hybryda łącząca długoolejową żywicę alkidową oraz podwójnie gotowany olej lniany.</w:t>
      </w:r>
    </w:p>
    <w:p w:rsidR="00000000" w:rsidDel="00000000" w:rsidP="00000000" w:rsidRDefault="00000000" w:rsidRPr="00000000" w14:paraId="00000006">
      <w:pPr>
        <w:numPr>
          <w:ilvl w:val="0"/>
          <w:numId w:val="1"/>
        </w:numPr>
        <w:spacing w:after="0" w:afterAutospacing="0" w:before="0" w:beforeAutospacing="0" w:lineRule="auto"/>
        <w:ind w:left="720" w:hanging="360"/>
      </w:pPr>
      <w:r w:rsidDel="00000000" w:rsidR="00000000" w:rsidRPr="00000000">
        <w:rPr>
          <w:b w:val="1"/>
          <w:bCs w:val="1"/>
          <w:rtl w:val="0"/>
        </w:rPr>
        <w:t xml:space="preserve">Ochrona strukturalna:</w:t>
      </w:r>
      <w:r w:rsidDel="00000000" w:rsidR="00000000" w:rsidRPr="00000000">
        <w:rPr>
          <w:rtl w:val="0"/>
        </w:rPr>
        <w:t xml:space="preserve"> System musi zawierać mikrokrystaliczną dyspersję woskową tworzącą powłokę o ekstremalnej hydrofobowości (tzw. "efekt lotosu" - woda perli się i spływa).</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b w:val="1"/>
          <w:bCs w:val="1"/>
          <w:rtl w:val="0"/>
        </w:rPr>
        <w:t xml:space="preserve">Biologia:</w:t>
      </w:r>
      <w:r w:rsidDel="00000000" w:rsidR="00000000" w:rsidRPr="00000000">
        <w:rPr>
          <w:rtl w:val="0"/>
        </w:rPr>
        <w:t xml:space="preserve"> Produkt musi być w 100% wolny od biocydów.</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b w:val="1"/>
          <w:bCs w:val="1"/>
          <w:rtl w:val="0"/>
        </w:rPr>
        <w:t xml:space="preserve">Ochrona UV:</w:t>
      </w:r>
      <w:r w:rsidDel="00000000" w:rsidR="00000000" w:rsidRPr="00000000">
        <w:rPr>
          <w:rtl w:val="0"/>
        </w:rPr>
        <w:t xml:space="preserve"> System musi zawierać transparentne nano-tlenki żelaza działające jak tarcza chroniąca przed szarzeniem.</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Zawartość Lotnych Związków Organicznych (LZO/VOC):</w:t>
      </w:r>
      <w:r w:rsidDel="00000000" w:rsidR="00000000" w:rsidRPr="00000000">
        <w:rPr>
          <w:rtl w:val="0"/>
        </w:rPr>
        <w:t xml:space="preserve"> Maksymalnie 390 g/l.</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Rozpuszczalnik:</w:t>
      </w:r>
      <w:r w:rsidDel="00000000" w:rsidR="00000000" w:rsidRPr="00000000">
        <w:rPr>
          <w:rtl w:val="0"/>
        </w:rPr>
        <w:t xml:space="preserve"> Niskoaromatyczna benzyna alifatyczna (bezwonna).</w:t>
      </w:r>
    </w:p>
    <w:p w:rsidR="00000000" w:rsidDel="00000000" w:rsidP="00000000" w:rsidRDefault="00000000" w:rsidRPr="00000000" w14:paraId="0000000B">
      <w:pPr>
        <w:numPr>
          <w:ilvl w:val="0"/>
          <w:numId w:val="1"/>
        </w:numPr>
        <w:spacing w:after="240" w:before="0" w:beforeAutospacing="0" w:lineRule="auto"/>
        <w:ind w:left="720" w:hanging="360"/>
      </w:pPr>
      <w:r w:rsidDel="00000000" w:rsidR="00000000" w:rsidRPr="00000000">
        <w:rPr>
          <w:b w:val="1"/>
          <w:bCs w:val="1"/>
          <w:rtl w:val="0"/>
        </w:rPr>
        <w:t xml:space="preserve">Gęstość:</w:t>
      </w:r>
      <w:r w:rsidDel="00000000" w:rsidR="00000000" w:rsidRPr="00000000">
        <w:rPr>
          <w:rtl w:val="0"/>
        </w:rPr>
        <w:t xml:space="preserve"> ok. 0,89 g/cm³.</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4. Wymagania aplikacyjne:</w:t>
      </w:r>
    </w:p>
    <w:p w:rsidR="00000000" w:rsidDel="00000000" w:rsidP="00000000" w:rsidRDefault="00000000" w:rsidRPr="00000000" w14:paraId="0000000D">
      <w:pPr>
        <w:numPr>
          <w:ilvl w:val="0"/>
          <w:numId w:val="2"/>
        </w:numPr>
        <w:spacing w:after="0" w:afterAutospacing="0" w:before="240" w:lineRule="auto"/>
        <w:ind w:left="720" w:hanging="360"/>
      </w:pPr>
      <w:r w:rsidDel="00000000" w:rsidR="00000000" w:rsidRPr="00000000">
        <w:rPr>
          <w:b w:val="1"/>
          <w:bCs w:val="1"/>
          <w:rtl w:val="0"/>
        </w:rPr>
        <w:t xml:space="preserve">Metoda aplikacji:</w:t>
      </w:r>
      <w:r w:rsidDel="00000000" w:rsidR="00000000" w:rsidRPr="00000000">
        <w:rPr>
          <w:rtl w:val="0"/>
        </w:rPr>
        <w:t xml:space="preserve"> Wymagana jest aplikacja wyłącznie pędzlem z włosia naturalnego lub mieszanego, ewentualnie wałkiem welurowym. Zabrania się aplikacji metodą natryskową.</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b w:val="1"/>
          <w:bCs w:val="1"/>
          <w:rtl w:val="0"/>
        </w:rPr>
        <w:t xml:space="preserve">Czas schnięcia:</w:t>
      </w:r>
      <w:r w:rsidDel="00000000" w:rsidR="00000000" w:rsidRPr="00000000">
        <w:rPr>
          <w:rtl w:val="0"/>
        </w:rPr>
        <w:t xml:space="preserve"> System musi osiągać pyłosuchość po 4-6 godzinach.</w:t>
      </w:r>
    </w:p>
    <w:p w:rsidR="00000000" w:rsidDel="00000000" w:rsidP="00000000" w:rsidRDefault="00000000" w:rsidRPr="00000000" w14:paraId="0000000F">
      <w:pPr>
        <w:numPr>
          <w:ilvl w:val="0"/>
          <w:numId w:val="2"/>
        </w:numPr>
        <w:spacing w:after="240" w:before="0" w:beforeAutospacing="0" w:lineRule="auto"/>
        <w:ind w:left="720" w:hanging="360"/>
      </w:pPr>
      <w:r w:rsidDel="00000000" w:rsidR="00000000" w:rsidRPr="00000000">
        <w:rPr>
          <w:b w:val="1"/>
          <w:bCs w:val="1"/>
          <w:rtl w:val="0"/>
        </w:rPr>
        <w:t xml:space="preserve">Procedura warstwowa:</w:t>
      </w:r>
      <w:r w:rsidDel="00000000" w:rsidR="00000000" w:rsidRPr="00000000">
        <w:rPr>
          <w:rtl w:val="0"/>
        </w:rPr>
        <w:t xml:space="preserve"> Produkt musi wymagać nałożenia drugiej warstwy po upływie minimum 12 godzin od aplikacji pierwszej warstwy.</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5. Odbiory robót i Bezpieczeństwo BHP</w:t>
      </w:r>
      <w:r w:rsidDel="00000000" w:rsidR="00000000" w:rsidRPr="00000000">
        <w:rPr>
          <w:rtl w:val="0"/>
        </w:rPr>
        <w:t xml:space="preserve"> Inspektor Nadzoru Inwestorskiego ma prawo zażądać od Wykonawcy dowodu zakupu na zadeklarowany materiał. Ze względu na zawartość oleju lnianego, szmaty, pakuły lub gąbki nasączone produktem mogą ulec samozapłonowi. Wykonawca musi natychmiast po użyciu zalać je wodą w metalowym pojemniku lub rozłożyć płasko na zewnątrz do całkowitego stwardnienia i wyschnięcia przed wyrzuceniem.</w:t>
      </w:r>
    </w:p>
    <w:p w:rsidR="00000000" w:rsidDel="00000000" w:rsidP="00000000" w:rsidRDefault="00000000" w:rsidRPr="00000000" w14:paraId="0000001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